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52" w:rsidRDefault="00E34952" w:rsidP="00E34952">
      <w:pPr>
        <w:widowControl w:val="0"/>
        <w:autoSpaceDE w:val="0"/>
        <w:autoSpaceDN w:val="0"/>
        <w:adjustRightInd w:val="0"/>
        <w:jc w:val="center"/>
        <w:rPr>
          <w:rFonts w:ascii="Times" w:hAnsi="Times" w:cs="Times"/>
        </w:rPr>
      </w:pPr>
      <w:r>
        <w:rPr>
          <w:rFonts w:ascii="Times" w:hAnsi="Times" w:cs="Times"/>
          <w:noProof/>
        </w:rPr>
        <w:drawing>
          <wp:inline distT="0" distB="0" distL="0" distR="0" wp14:anchorId="672AD88C" wp14:editId="71C26353">
            <wp:extent cx="1412034" cy="459740"/>
            <wp:effectExtent l="0" t="0" r="1079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061" cy="464307"/>
                    </a:xfrm>
                    <a:prstGeom prst="rect">
                      <a:avLst/>
                    </a:prstGeom>
                    <a:noFill/>
                    <a:ln>
                      <a:noFill/>
                    </a:ln>
                  </pic:spPr>
                </pic:pic>
              </a:graphicData>
            </a:graphic>
          </wp:inline>
        </w:drawing>
      </w:r>
      <w:r>
        <w:rPr>
          <w:rFonts w:ascii="Times" w:hAnsi="Times" w:cs="Times"/>
        </w:rPr>
        <w:t xml:space="preserve"> Treatment Consent</w:t>
      </w:r>
    </w:p>
    <w:p w:rsidR="00E34952" w:rsidRPr="00A16BC3" w:rsidRDefault="00E34952" w:rsidP="00E34952">
      <w:pPr>
        <w:widowControl w:val="0"/>
        <w:autoSpaceDE w:val="0"/>
        <w:autoSpaceDN w:val="0"/>
        <w:adjustRightInd w:val="0"/>
        <w:spacing w:after="240"/>
        <w:rPr>
          <w:rFonts w:ascii="Baskerville" w:hAnsi="Baskerville" w:cs="Times"/>
          <w:sz w:val="20"/>
          <w:szCs w:val="20"/>
        </w:rPr>
      </w:pPr>
    </w:p>
    <w:p w:rsidR="00E34952" w:rsidRPr="00A16BC3" w:rsidRDefault="00E34952" w:rsidP="00E34952">
      <w:pPr>
        <w:widowControl w:val="0"/>
        <w:autoSpaceDE w:val="0"/>
        <w:autoSpaceDN w:val="0"/>
        <w:adjustRightInd w:val="0"/>
        <w:spacing w:after="240"/>
        <w:rPr>
          <w:rFonts w:ascii="Baskerville" w:hAnsi="Baskerville" w:cs="Times"/>
          <w:sz w:val="20"/>
          <w:szCs w:val="20"/>
        </w:rPr>
      </w:pPr>
      <w:r w:rsidRPr="00A16BC3">
        <w:rPr>
          <w:rFonts w:ascii="Baskerville" w:hAnsi="Baskerville" w:cs="Arial Narrow"/>
          <w:sz w:val="20"/>
          <w:szCs w:val="20"/>
        </w:rPr>
        <w:t xml:space="preserve">Randi Hall, MSN, FNP-BC has explained to me that I am a good candidate for Profound treatment and that although the treatment has been shown to be highly effective, no guarantees can be made that I will benefit from treatment. I understand that the most common side effects and complications of this laser treatment are the following: </w:t>
      </w:r>
    </w:p>
    <w:p w:rsidR="00E34952" w:rsidRPr="00A16BC3" w:rsidRDefault="00E34952" w:rsidP="00E34952">
      <w:pPr>
        <w:widowControl w:val="0"/>
        <w:numPr>
          <w:ilvl w:val="0"/>
          <w:numId w:val="1"/>
        </w:numPr>
        <w:tabs>
          <w:tab w:val="left" w:pos="220"/>
          <w:tab w:val="left" w:pos="720"/>
        </w:tabs>
        <w:autoSpaceDE w:val="0"/>
        <w:autoSpaceDN w:val="0"/>
        <w:adjustRightInd w:val="0"/>
        <w:spacing w:after="293"/>
        <w:ind w:hanging="720"/>
        <w:rPr>
          <w:rFonts w:ascii="Baskerville" w:hAnsi="Baskerville" w:cs="Arial Narrow"/>
          <w:sz w:val="20"/>
          <w:szCs w:val="20"/>
        </w:rPr>
      </w:pPr>
      <w:r w:rsidRPr="00A16BC3">
        <w:rPr>
          <w:rFonts w:ascii="Baskerville" w:hAnsi="Baskerville" w:cs="Times"/>
          <w:sz w:val="20"/>
          <w:szCs w:val="20"/>
        </w:rPr>
        <w:t>Pain</w:t>
      </w:r>
      <w:r w:rsidRPr="00A16BC3">
        <w:rPr>
          <w:rFonts w:ascii="Baskerville" w:hAnsi="Baskerville" w:cs="Arial Narrow"/>
          <w:sz w:val="20"/>
          <w:szCs w:val="20"/>
        </w:rPr>
        <w:t xml:space="preserve">. The sharp, burning sensation of </w:t>
      </w:r>
      <w:r w:rsidRPr="00A16BC3">
        <w:rPr>
          <w:rFonts w:ascii="Baskerville" w:hAnsi="Baskerville" w:cs="Times"/>
          <w:sz w:val="20"/>
          <w:szCs w:val="20"/>
        </w:rPr>
        <w:t>Microneedle and RF emission</w:t>
      </w:r>
      <w:r w:rsidRPr="00A16BC3">
        <w:rPr>
          <w:rFonts w:ascii="MS Mincho" w:eastAsia="MS Mincho" w:hAnsi="MS Mincho" w:cs="MS Mincho"/>
          <w:sz w:val="20"/>
          <w:szCs w:val="20"/>
        </w:rPr>
        <w:t> </w:t>
      </w:r>
      <w:r w:rsidRPr="00A16BC3">
        <w:rPr>
          <w:rFonts w:ascii="Baskerville" w:hAnsi="Baskerville" w:cs="Arial Narrow"/>
          <w:sz w:val="20"/>
          <w:szCs w:val="20"/>
        </w:rPr>
        <w:t xml:space="preserve">may produce a moderate amount of discomfort. Topical anesthetics, anesthetic injections, may be used to block the pain during the procedure. </w:t>
      </w:r>
      <w:r w:rsidRPr="00A16BC3">
        <w:rPr>
          <w:rFonts w:ascii="MS Mincho" w:eastAsia="MS Mincho" w:hAnsi="MS Mincho" w:cs="MS Mincho"/>
          <w:sz w:val="20"/>
          <w:szCs w:val="20"/>
        </w:rPr>
        <w:t> </w:t>
      </w:r>
    </w:p>
    <w:p w:rsidR="00E34952" w:rsidRPr="00A16BC3" w:rsidRDefault="00E34952" w:rsidP="00E34952">
      <w:pPr>
        <w:widowControl w:val="0"/>
        <w:numPr>
          <w:ilvl w:val="0"/>
          <w:numId w:val="1"/>
        </w:numPr>
        <w:tabs>
          <w:tab w:val="left" w:pos="220"/>
          <w:tab w:val="left" w:pos="720"/>
        </w:tabs>
        <w:autoSpaceDE w:val="0"/>
        <w:autoSpaceDN w:val="0"/>
        <w:adjustRightInd w:val="0"/>
        <w:spacing w:after="293"/>
        <w:ind w:hanging="720"/>
        <w:rPr>
          <w:rFonts w:ascii="Baskerville" w:hAnsi="Baskerville" w:cs="Arial Narrow"/>
          <w:sz w:val="20"/>
          <w:szCs w:val="20"/>
        </w:rPr>
      </w:pPr>
      <w:r w:rsidRPr="00A16BC3">
        <w:rPr>
          <w:rFonts w:ascii="Baskerville" w:hAnsi="Baskerville" w:cs="Times"/>
          <w:sz w:val="20"/>
          <w:szCs w:val="20"/>
        </w:rPr>
        <w:t>Prolonged skin redness</w:t>
      </w:r>
      <w:r w:rsidRPr="00A16BC3">
        <w:rPr>
          <w:rFonts w:ascii="Baskerville" w:hAnsi="Baskerville" w:cs="Arial Narrow"/>
          <w:sz w:val="20"/>
          <w:szCs w:val="20"/>
        </w:rPr>
        <w:t xml:space="preserve">. The treated areas may initially appear red in color. The redness will fade over the following couple of days. </w:t>
      </w:r>
      <w:r w:rsidRPr="00A16BC3">
        <w:rPr>
          <w:rFonts w:ascii="MS Mincho" w:eastAsia="MS Mincho" w:hAnsi="MS Mincho" w:cs="MS Mincho"/>
          <w:sz w:val="20"/>
          <w:szCs w:val="20"/>
        </w:rPr>
        <w:t> </w:t>
      </w:r>
    </w:p>
    <w:p w:rsidR="00E34952" w:rsidRPr="00A16BC3" w:rsidRDefault="00E34952" w:rsidP="00E34952">
      <w:pPr>
        <w:widowControl w:val="0"/>
        <w:numPr>
          <w:ilvl w:val="0"/>
          <w:numId w:val="2"/>
        </w:numPr>
        <w:tabs>
          <w:tab w:val="left" w:pos="220"/>
          <w:tab w:val="left" w:pos="720"/>
        </w:tabs>
        <w:autoSpaceDE w:val="0"/>
        <w:autoSpaceDN w:val="0"/>
        <w:adjustRightInd w:val="0"/>
        <w:spacing w:after="293"/>
        <w:ind w:hanging="720"/>
        <w:rPr>
          <w:rFonts w:ascii="Baskerville" w:hAnsi="Baskerville" w:cs="Arial Narrow"/>
          <w:sz w:val="20"/>
          <w:szCs w:val="20"/>
        </w:rPr>
      </w:pPr>
      <w:r w:rsidRPr="00A16BC3">
        <w:rPr>
          <w:rFonts w:ascii="Baskerville" w:hAnsi="Baskerville" w:cs="Times"/>
          <w:sz w:val="20"/>
          <w:szCs w:val="20"/>
        </w:rPr>
        <w:t xml:space="preserve">Skin darkening </w:t>
      </w:r>
      <w:r w:rsidRPr="00A16BC3">
        <w:rPr>
          <w:rFonts w:ascii="Baskerville" w:hAnsi="Baskerville" w:cs="Arial Narrow"/>
          <w:sz w:val="20"/>
          <w:szCs w:val="20"/>
        </w:rPr>
        <w:t xml:space="preserve">(hyper-pigmentation). “Tanning” of the skin can occur in the treated areas and will eventually fade within a few months. This reaction is more common in patients with olive or dark skin tones and can worsen if the treated area is exposed to the sun. </w:t>
      </w:r>
      <w:r w:rsidRPr="00A16BC3">
        <w:rPr>
          <w:rFonts w:ascii="MS Mincho" w:eastAsia="MS Mincho" w:hAnsi="MS Mincho" w:cs="MS Mincho"/>
          <w:sz w:val="20"/>
          <w:szCs w:val="20"/>
        </w:rPr>
        <w:t> </w:t>
      </w:r>
    </w:p>
    <w:p w:rsidR="00E34952" w:rsidRPr="00A16BC3" w:rsidRDefault="00E34952" w:rsidP="00E34952">
      <w:pPr>
        <w:widowControl w:val="0"/>
        <w:numPr>
          <w:ilvl w:val="0"/>
          <w:numId w:val="2"/>
        </w:numPr>
        <w:tabs>
          <w:tab w:val="left" w:pos="220"/>
          <w:tab w:val="left" w:pos="720"/>
        </w:tabs>
        <w:autoSpaceDE w:val="0"/>
        <w:autoSpaceDN w:val="0"/>
        <w:adjustRightInd w:val="0"/>
        <w:spacing w:after="293"/>
        <w:ind w:hanging="720"/>
        <w:rPr>
          <w:rFonts w:ascii="Baskerville" w:hAnsi="Baskerville" w:cs="Arial Narrow"/>
          <w:sz w:val="20"/>
          <w:szCs w:val="20"/>
        </w:rPr>
      </w:pPr>
      <w:r w:rsidRPr="00A16BC3">
        <w:rPr>
          <w:rFonts w:ascii="Baskerville" w:hAnsi="Baskerville" w:cs="Times"/>
          <w:sz w:val="20"/>
          <w:szCs w:val="20"/>
        </w:rPr>
        <w:t xml:space="preserve">Skin lightening </w:t>
      </w:r>
      <w:r w:rsidRPr="00A16BC3">
        <w:rPr>
          <w:rFonts w:ascii="Baskerville" w:hAnsi="Baskerville" w:cs="Arial Narrow"/>
          <w:sz w:val="20"/>
          <w:szCs w:val="20"/>
        </w:rPr>
        <w:t xml:space="preserve">(hypo-pigmentation). Light spots can appear in an area of skin that has already received prior treatment or can be a delayed response to the treatment. The pale areas can darken or re-pigment in several months, but could be permanent. </w:t>
      </w:r>
      <w:r w:rsidRPr="00A16BC3">
        <w:rPr>
          <w:rFonts w:ascii="MS Mincho" w:eastAsia="MS Mincho" w:hAnsi="MS Mincho" w:cs="MS Mincho"/>
          <w:sz w:val="20"/>
          <w:szCs w:val="20"/>
        </w:rPr>
        <w:t> </w:t>
      </w:r>
    </w:p>
    <w:p w:rsidR="00E34952" w:rsidRPr="00A16BC3" w:rsidRDefault="00E34952" w:rsidP="00E34952">
      <w:pPr>
        <w:widowControl w:val="0"/>
        <w:numPr>
          <w:ilvl w:val="0"/>
          <w:numId w:val="2"/>
        </w:numPr>
        <w:tabs>
          <w:tab w:val="left" w:pos="220"/>
          <w:tab w:val="left" w:pos="720"/>
        </w:tabs>
        <w:autoSpaceDE w:val="0"/>
        <w:autoSpaceDN w:val="0"/>
        <w:adjustRightInd w:val="0"/>
        <w:spacing w:after="293"/>
        <w:ind w:hanging="720"/>
        <w:rPr>
          <w:rFonts w:ascii="Baskerville" w:hAnsi="Baskerville" w:cs="Arial Narrow"/>
          <w:sz w:val="20"/>
          <w:szCs w:val="20"/>
        </w:rPr>
      </w:pPr>
      <w:r w:rsidRPr="00A16BC3">
        <w:rPr>
          <w:rFonts w:ascii="Baskerville" w:hAnsi="Baskerville" w:cs="Times"/>
          <w:sz w:val="20"/>
          <w:szCs w:val="20"/>
        </w:rPr>
        <w:t xml:space="preserve">Scarring. </w:t>
      </w:r>
      <w:r w:rsidRPr="00A16BC3">
        <w:rPr>
          <w:rFonts w:ascii="Baskerville" w:hAnsi="Baskerville" w:cs="Arial Narrow"/>
          <w:sz w:val="20"/>
          <w:szCs w:val="20"/>
        </w:rPr>
        <w:t xml:space="preserve">The risk of this complication is minimal, but it can occur whenever the skin’s surface is disrupted. Strict adherence to all advised postoperative instructions will reduce the possibility of this occurrence. </w:t>
      </w:r>
      <w:r w:rsidRPr="00A16BC3">
        <w:rPr>
          <w:rFonts w:ascii="MS Mincho" w:eastAsia="MS Mincho" w:hAnsi="MS Mincho" w:cs="MS Mincho"/>
          <w:sz w:val="20"/>
          <w:szCs w:val="20"/>
        </w:rPr>
        <w:t> </w:t>
      </w:r>
    </w:p>
    <w:p w:rsidR="00E34952" w:rsidRPr="00A16BC3" w:rsidRDefault="00E34952" w:rsidP="00E34952">
      <w:pPr>
        <w:widowControl w:val="0"/>
        <w:numPr>
          <w:ilvl w:val="0"/>
          <w:numId w:val="2"/>
        </w:numPr>
        <w:tabs>
          <w:tab w:val="left" w:pos="220"/>
          <w:tab w:val="left" w:pos="720"/>
        </w:tabs>
        <w:autoSpaceDE w:val="0"/>
        <w:autoSpaceDN w:val="0"/>
        <w:adjustRightInd w:val="0"/>
        <w:spacing w:after="293"/>
        <w:ind w:hanging="720"/>
        <w:rPr>
          <w:rFonts w:ascii="Baskerville" w:hAnsi="Baskerville" w:cs="Arial Narrow"/>
          <w:sz w:val="20"/>
          <w:szCs w:val="20"/>
        </w:rPr>
      </w:pPr>
      <w:r w:rsidRPr="00A16BC3">
        <w:rPr>
          <w:rFonts w:ascii="Baskerville" w:hAnsi="Baskerville" w:cs="Times"/>
          <w:sz w:val="20"/>
          <w:szCs w:val="20"/>
        </w:rPr>
        <w:t xml:space="preserve">Infection. </w:t>
      </w:r>
      <w:r w:rsidRPr="00A16BC3">
        <w:rPr>
          <w:rFonts w:ascii="Baskerville" w:hAnsi="Baskerville" w:cs="Arial Narrow"/>
          <w:sz w:val="20"/>
          <w:szCs w:val="20"/>
        </w:rPr>
        <w:t xml:space="preserve">A skin infection in the postoperative period can result. This risk is minimized by good skin care, including frequent hand washing. </w:t>
      </w:r>
      <w:r w:rsidR="003C65C5" w:rsidRPr="00A16BC3">
        <w:rPr>
          <w:rFonts w:ascii="Baskerville" w:hAnsi="Baskerville" w:cs="Arial Narrow"/>
          <w:sz w:val="20"/>
          <w:szCs w:val="20"/>
        </w:rPr>
        <w:t>Change your pillow cases nightly for first 48 hours.</w:t>
      </w:r>
      <w:r w:rsidRPr="00A16BC3">
        <w:rPr>
          <w:rFonts w:ascii="MS Mincho" w:eastAsia="MS Mincho" w:hAnsi="MS Mincho" w:cs="MS Mincho"/>
          <w:sz w:val="20"/>
          <w:szCs w:val="20"/>
        </w:rPr>
        <w:t> </w:t>
      </w:r>
    </w:p>
    <w:p w:rsidR="00E34952" w:rsidRPr="00A16BC3" w:rsidRDefault="00E34952" w:rsidP="00E34952">
      <w:pPr>
        <w:widowControl w:val="0"/>
        <w:numPr>
          <w:ilvl w:val="0"/>
          <w:numId w:val="2"/>
        </w:numPr>
        <w:tabs>
          <w:tab w:val="left" w:pos="220"/>
          <w:tab w:val="left" w:pos="720"/>
        </w:tabs>
        <w:autoSpaceDE w:val="0"/>
        <w:autoSpaceDN w:val="0"/>
        <w:adjustRightInd w:val="0"/>
        <w:spacing w:after="293"/>
        <w:ind w:hanging="720"/>
        <w:rPr>
          <w:rFonts w:ascii="Baskerville" w:hAnsi="Baskerville" w:cs="Arial Narrow"/>
          <w:sz w:val="20"/>
          <w:szCs w:val="20"/>
        </w:rPr>
      </w:pPr>
      <w:r w:rsidRPr="00A16BC3">
        <w:rPr>
          <w:rFonts w:ascii="Baskerville" w:hAnsi="Baskerville" w:cs="Times"/>
          <w:sz w:val="20"/>
          <w:szCs w:val="20"/>
        </w:rPr>
        <w:t xml:space="preserve">Allergic reaction. </w:t>
      </w:r>
      <w:r w:rsidRPr="00A16BC3">
        <w:rPr>
          <w:rFonts w:ascii="Baskerville" w:hAnsi="Baskerville" w:cs="Arial Narrow"/>
          <w:sz w:val="20"/>
          <w:szCs w:val="20"/>
        </w:rPr>
        <w:t xml:space="preserve">It is possible that an allergic reaction to an anesthetic, topical cream or oral medication can occur. </w:t>
      </w:r>
      <w:r w:rsidRPr="00A16BC3">
        <w:rPr>
          <w:rFonts w:ascii="MS Mincho" w:eastAsia="MS Mincho" w:hAnsi="MS Mincho" w:cs="MS Mincho"/>
          <w:sz w:val="20"/>
          <w:szCs w:val="20"/>
        </w:rPr>
        <w:t> </w:t>
      </w:r>
    </w:p>
    <w:p w:rsidR="00E34952" w:rsidRPr="00A16BC3" w:rsidRDefault="00E34952" w:rsidP="00E34952">
      <w:pPr>
        <w:widowControl w:val="0"/>
        <w:numPr>
          <w:ilvl w:val="0"/>
          <w:numId w:val="2"/>
        </w:numPr>
        <w:tabs>
          <w:tab w:val="left" w:pos="220"/>
          <w:tab w:val="left" w:pos="720"/>
        </w:tabs>
        <w:autoSpaceDE w:val="0"/>
        <w:autoSpaceDN w:val="0"/>
        <w:adjustRightInd w:val="0"/>
        <w:spacing w:after="293"/>
        <w:ind w:hanging="720"/>
        <w:rPr>
          <w:rFonts w:ascii="Baskerville" w:hAnsi="Baskerville" w:cs="Arial Narrow"/>
          <w:sz w:val="20"/>
          <w:szCs w:val="20"/>
        </w:rPr>
      </w:pPr>
      <w:r w:rsidRPr="00A16BC3">
        <w:rPr>
          <w:rFonts w:ascii="Baskerville" w:hAnsi="Baskerville" w:cs="Times"/>
          <w:sz w:val="20"/>
          <w:szCs w:val="20"/>
        </w:rPr>
        <w:t xml:space="preserve">Acne or </w:t>
      </w:r>
      <w:proofErr w:type="spellStart"/>
      <w:r w:rsidRPr="00A16BC3">
        <w:rPr>
          <w:rFonts w:ascii="Baskerville" w:hAnsi="Baskerville" w:cs="Times"/>
          <w:sz w:val="20"/>
          <w:szCs w:val="20"/>
        </w:rPr>
        <w:t>milia</w:t>
      </w:r>
      <w:proofErr w:type="spellEnd"/>
      <w:r w:rsidRPr="00A16BC3">
        <w:rPr>
          <w:rFonts w:ascii="Baskerville" w:hAnsi="Baskerville" w:cs="Times"/>
          <w:sz w:val="20"/>
          <w:szCs w:val="20"/>
        </w:rPr>
        <w:t xml:space="preserve"> formation. </w:t>
      </w:r>
      <w:r w:rsidRPr="00A16BC3">
        <w:rPr>
          <w:rFonts w:ascii="Baskerville" w:hAnsi="Baskerville" w:cs="Arial Narrow"/>
          <w:sz w:val="20"/>
          <w:szCs w:val="20"/>
        </w:rPr>
        <w:t xml:space="preserve">Flare-up acne or formation of </w:t>
      </w:r>
      <w:proofErr w:type="spellStart"/>
      <w:r w:rsidRPr="00A16BC3">
        <w:rPr>
          <w:rFonts w:ascii="Baskerville" w:hAnsi="Baskerville" w:cs="Arial Narrow"/>
          <w:sz w:val="20"/>
          <w:szCs w:val="20"/>
        </w:rPr>
        <w:t>milia</w:t>
      </w:r>
      <w:proofErr w:type="spellEnd"/>
      <w:r w:rsidRPr="00A16BC3">
        <w:rPr>
          <w:rFonts w:ascii="Baskerville" w:hAnsi="Baskerville" w:cs="Arial Narrow"/>
          <w:sz w:val="20"/>
          <w:szCs w:val="20"/>
        </w:rPr>
        <w:t xml:space="preserve"> can occur in the postoperative period. </w:t>
      </w:r>
      <w:r w:rsidRPr="00A16BC3">
        <w:rPr>
          <w:rFonts w:ascii="MS Mincho" w:eastAsia="MS Mincho" w:hAnsi="MS Mincho" w:cs="MS Mincho"/>
          <w:sz w:val="20"/>
          <w:szCs w:val="20"/>
        </w:rPr>
        <w:t> </w:t>
      </w:r>
    </w:p>
    <w:p w:rsidR="00E34952" w:rsidRPr="00A16BC3" w:rsidRDefault="00E34952" w:rsidP="00E34952">
      <w:pPr>
        <w:widowControl w:val="0"/>
        <w:autoSpaceDE w:val="0"/>
        <w:autoSpaceDN w:val="0"/>
        <w:adjustRightInd w:val="0"/>
        <w:spacing w:after="240"/>
        <w:rPr>
          <w:rFonts w:ascii="Baskerville" w:hAnsi="Baskerville" w:cs="Times"/>
          <w:sz w:val="20"/>
          <w:szCs w:val="20"/>
        </w:rPr>
      </w:pPr>
      <w:r w:rsidRPr="00A16BC3">
        <w:rPr>
          <w:rFonts w:ascii="Baskerville" w:hAnsi="Baskerville" w:cs="Arial Narrow"/>
          <w:sz w:val="20"/>
          <w:szCs w:val="20"/>
        </w:rPr>
        <w:t>By providing my signature below, I acknowledge that I have read and understood all of the information written above as well as that contained within the information sheet. I feel that I have been adequately informed of my alternative treatment options, t</w:t>
      </w:r>
      <w:r w:rsidR="003C65C5" w:rsidRPr="00A16BC3">
        <w:rPr>
          <w:rFonts w:ascii="Baskerville" w:hAnsi="Baskerville" w:cs="Arial Narrow"/>
          <w:sz w:val="20"/>
          <w:szCs w:val="20"/>
        </w:rPr>
        <w:t>he risks of the proposed treatment</w:t>
      </w:r>
      <w:r w:rsidRPr="00A16BC3">
        <w:rPr>
          <w:rFonts w:ascii="Baskerville" w:hAnsi="Baskerville" w:cs="Arial Narrow"/>
          <w:sz w:val="20"/>
          <w:szCs w:val="20"/>
        </w:rPr>
        <w:t xml:space="preserve">, and the risks of not treating my condition. I hereby freely consent to </w:t>
      </w:r>
      <w:r w:rsidR="003C65C5" w:rsidRPr="00A16BC3">
        <w:rPr>
          <w:rFonts w:ascii="Baskerville" w:hAnsi="Baskerville" w:cs="Arial Narrow"/>
          <w:sz w:val="20"/>
          <w:szCs w:val="20"/>
        </w:rPr>
        <w:t>the Profound</w:t>
      </w:r>
      <w:r w:rsidRPr="00A16BC3">
        <w:rPr>
          <w:rFonts w:ascii="Baskerville" w:hAnsi="Baskerville" w:cs="Arial Narrow"/>
          <w:sz w:val="20"/>
          <w:szCs w:val="20"/>
        </w:rPr>
        <w:t xml:space="preserve"> to be performed by </w:t>
      </w:r>
      <w:r w:rsidR="003C65C5" w:rsidRPr="00A16BC3">
        <w:rPr>
          <w:rFonts w:ascii="Baskerville" w:hAnsi="Baskerville" w:cs="Arial Narrow"/>
          <w:sz w:val="20"/>
          <w:szCs w:val="20"/>
        </w:rPr>
        <w:t xml:space="preserve">Randi Hall, FNP-BC </w:t>
      </w:r>
      <w:r w:rsidRPr="00A16BC3">
        <w:rPr>
          <w:rFonts w:ascii="Baskerville" w:hAnsi="Baskerville" w:cs="Arial Narrow"/>
          <w:sz w:val="20"/>
          <w:szCs w:val="20"/>
        </w:rPr>
        <w:t xml:space="preserve">and authorize the taking of clinical photographs to document my clinical process. </w:t>
      </w:r>
    </w:p>
    <w:p w:rsidR="00E34952" w:rsidRPr="00A16BC3" w:rsidRDefault="00E34952" w:rsidP="00E34952">
      <w:pPr>
        <w:widowControl w:val="0"/>
        <w:autoSpaceDE w:val="0"/>
        <w:autoSpaceDN w:val="0"/>
        <w:adjustRightInd w:val="0"/>
        <w:rPr>
          <w:rFonts w:ascii="Baskerville" w:hAnsi="Baskerville" w:cs="Times"/>
          <w:sz w:val="20"/>
          <w:szCs w:val="20"/>
        </w:rPr>
      </w:pPr>
    </w:p>
    <w:p w:rsidR="00335288" w:rsidRPr="00A16BC3" w:rsidRDefault="00335288" w:rsidP="00E34952">
      <w:pPr>
        <w:widowControl w:val="0"/>
        <w:autoSpaceDE w:val="0"/>
        <w:autoSpaceDN w:val="0"/>
        <w:adjustRightInd w:val="0"/>
        <w:rPr>
          <w:rFonts w:ascii="Baskerville" w:hAnsi="Baskerville" w:cs="Times"/>
          <w:sz w:val="20"/>
          <w:szCs w:val="20"/>
        </w:rPr>
      </w:pPr>
    </w:p>
    <w:p w:rsidR="00335288" w:rsidRPr="00A16BC3" w:rsidRDefault="00335288" w:rsidP="00E34952">
      <w:pPr>
        <w:widowControl w:val="0"/>
        <w:autoSpaceDE w:val="0"/>
        <w:autoSpaceDN w:val="0"/>
        <w:adjustRightInd w:val="0"/>
        <w:rPr>
          <w:rFonts w:ascii="Baskerville" w:hAnsi="Baskerville" w:cs="Times"/>
          <w:sz w:val="20"/>
          <w:szCs w:val="20"/>
        </w:rPr>
      </w:pPr>
    </w:p>
    <w:p w:rsidR="00A16BC3" w:rsidRPr="00A16BC3" w:rsidRDefault="003C65C5" w:rsidP="00A16BC3">
      <w:pPr>
        <w:widowControl w:val="0"/>
        <w:autoSpaceDE w:val="0"/>
        <w:autoSpaceDN w:val="0"/>
        <w:adjustRightInd w:val="0"/>
        <w:rPr>
          <w:rFonts w:ascii="Baskerville" w:hAnsi="Baskerville" w:cs="Times"/>
          <w:sz w:val="20"/>
          <w:szCs w:val="20"/>
        </w:rPr>
      </w:pPr>
      <w:r w:rsidRPr="00A16BC3">
        <w:rPr>
          <w:rFonts w:ascii="Baskerville" w:hAnsi="Baskerville" w:cs="Arial Narrow"/>
          <w:sz w:val="20"/>
          <w:szCs w:val="20"/>
        </w:rPr>
        <w:t>_____________________________</w:t>
      </w:r>
      <w:r w:rsidR="00A16BC3">
        <w:rPr>
          <w:rFonts w:ascii="Baskerville" w:hAnsi="Baskerville" w:cs="Arial Narrow"/>
          <w:sz w:val="20"/>
          <w:szCs w:val="20"/>
        </w:rPr>
        <w:t xml:space="preserve">                         </w:t>
      </w:r>
      <w:r w:rsidR="00A16BC3" w:rsidRPr="00A16BC3">
        <w:rPr>
          <w:rFonts w:ascii="Baskerville" w:hAnsi="Baskerville" w:cs="Arial Narrow"/>
          <w:sz w:val="20"/>
          <w:szCs w:val="20"/>
        </w:rPr>
        <w:t>_____________________________</w:t>
      </w:r>
    </w:p>
    <w:p w:rsidR="00A16BC3" w:rsidRPr="00A16BC3" w:rsidRDefault="00A16BC3" w:rsidP="00A16BC3">
      <w:pPr>
        <w:widowControl w:val="0"/>
        <w:autoSpaceDE w:val="0"/>
        <w:autoSpaceDN w:val="0"/>
        <w:adjustRightInd w:val="0"/>
        <w:spacing w:after="240"/>
        <w:rPr>
          <w:rFonts w:ascii="Baskerville" w:hAnsi="Baskerville" w:cs="Arial Narrow"/>
          <w:sz w:val="20"/>
          <w:szCs w:val="20"/>
        </w:rPr>
      </w:pPr>
      <w:r w:rsidRPr="00A16BC3">
        <w:rPr>
          <w:rFonts w:ascii="Baskerville" w:hAnsi="Baskerville" w:cs="Arial Narrow"/>
          <w:sz w:val="20"/>
          <w:szCs w:val="20"/>
        </w:rPr>
        <w:t xml:space="preserve"> Providers Signature</w:t>
      </w:r>
      <w:r w:rsidR="00BA2A7B">
        <w:rPr>
          <w:rFonts w:ascii="Baskerville" w:hAnsi="Baskerville" w:cs="Arial Narrow"/>
          <w:sz w:val="20"/>
          <w:szCs w:val="20"/>
        </w:rPr>
        <w:tab/>
      </w:r>
      <w:r w:rsidR="00BA2A7B">
        <w:rPr>
          <w:rFonts w:ascii="Baskerville" w:hAnsi="Baskerville" w:cs="Arial Narrow"/>
          <w:sz w:val="20"/>
          <w:szCs w:val="20"/>
        </w:rPr>
        <w:tab/>
      </w:r>
      <w:r w:rsidR="00BA2A7B">
        <w:rPr>
          <w:rFonts w:ascii="Baskerville" w:hAnsi="Baskerville" w:cs="Arial Narrow"/>
          <w:sz w:val="20"/>
          <w:szCs w:val="20"/>
        </w:rPr>
        <w:tab/>
      </w:r>
      <w:r w:rsidR="00BA2A7B">
        <w:rPr>
          <w:rFonts w:ascii="Baskerville" w:hAnsi="Baskerville" w:cs="Arial Narrow"/>
          <w:sz w:val="20"/>
          <w:szCs w:val="20"/>
        </w:rPr>
        <w:tab/>
        <w:t>Date</w:t>
      </w:r>
    </w:p>
    <w:p w:rsidR="003C65C5" w:rsidRPr="00A16BC3" w:rsidRDefault="003C65C5" w:rsidP="00E34952">
      <w:pPr>
        <w:widowControl w:val="0"/>
        <w:autoSpaceDE w:val="0"/>
        <w:autoSpaceDN w:val="0"/>
        <w:adjustRightInd w:val="0"/>
        <w:rPr>
          <w:rFonts w:ascii="Baskerville" w:hAnsi="Baskerville" w:cs="Times"/>
          <w:sz w:val="20"/>
          <w:szCs w:val="20"/>
        </w:rPr>
      </w:pPr>
    </w:p>
    <w:p w:rsidR="00BA2A7B" w:rsidRPr="00A16BC3" w:rsidRDefault="00BA2A7B" w:rsidP="00BA2A7B">
      <w:pPr>
        <w:widowControl w:val="0"/>
        <w:autoSpaceDE w:val="0"/>
        <w:autoSpaceDN w:val="0"/>
        <w:adjustRightInd w:val="0"/>
        <w:rPr>
          <w:rFonts w:ascii="Baskerville" w:hAnsi="Baskerville" w:cs="Times"/>
          <w:sz w:val="20"/>
          <w:szCs w:val="20"/>
        </w:rPr>
      </w:pPr>
      <w:r w:rsidRPr="00A16BC3">
        <w:rPr>
          <w:rFonts w:ascii="Baskerville" w:hAnsi="Baskerville" w:cs="Arial Narrow"/>
          <w:sz w:val="20"/>
          <w:szCs w:val="20"/>
        </w:rPr>
        <w:t>_____________________________</w:t>
      </w:r>
      <w:r>
        <w:rPr>
          <w:rFonts w:ascii="Baskerville" w:hAnsi="Baskerville" w:cs="Arial Narrow"/>
          <w:sz w:val="20"/>
          <w:szCs w:val="20"/>
        </w:rPr>
        <w:t xml:space="preserve">                         </w:t>
      </w:r>
      <w:r w:rsidRPr="00A16BC3">
        <w:rPr>
          <w:rFonts w:ascii="Baskerville" w:hAnsi="Baskerville" w:cs="Arial Narrow"/>
          <w:sz w:val="20"/>
          <w:szCs w:val="20"/>
        </w:rPr>
        <w:t>_____________________________</w:t>
      </w:r>
    </w:p>
    <w:p w:rsidR="00F62B6A" w:rsidRPr="00BA2A7B" w:rsidRDefault="00BA2A7B" w:rsidP="00BA2A7B">
      <w:pPr>
        <w:widowControl w:val="0"/>
        <w:autoSpaceDE w:val="0"/>
        <w:autoSpaceDN w:val="0"/>
        <w:adjustRightInd w:val="0"/>
        <w:spacing w:after="240"/>
        <w:rPr>
          <w:rFonts w:ascii="Baskerville" w:hAnsi="Baskerville" w:cs="Arial Narrow"/>
          <w:sz w:val="20"/>
          <w:szCs w:val="20"/>
        </w:rPr>
      </w:pPr>
      <w:r w:rsidRPr="00A16BC3">
        <w:rPr>
          <w:rFonts w:ascii="Baskerville" w:hAnsi="Baskerville" w:cs="Arial Narrow"/>
          <w:sz w:val="20"/>
          <w:szCs w:val="20"/>
        </w:rPr>
        <w:t xml:space="preserve"> Providers Signature</w:t>
      </w:r>
      <w:r>
        <w:rPr>
          <w:rFonts w:ascii="Baskerville" w:hAnsi="Baskerville" w:cs="Arial Narrow"/>
          <w:sz w:val="20"/>
          <w:szCs w:val="20"/>
        </w:rPr>
        <w:tab/>
      </w:r>
      <w:r>
        <w:rPr>
          <w:rFonts w:ascii="Baskerville" w:hAnsi="Baskerville" w:cs="Arial Narrow"/>
          <w:sz w:val="20"/>
          <w:szCs w:val="20"/>
        </w:rPr>
        <w:tab/>
      </w:r>
      <w:r>
        <w:rPr>
          <w:rFonts w:ascii="Baskerville" w:hAnsi="Baskerville" w:cs="Arial Narrow"/>
          <w:sz w:val="20"/>
          <w:szCs w:val="20"/>
        </w:rPr>
        <w:tab/>
      </w:r>
      <w:r>
        <w:rPr>
          <w:rFonts w:ascii="Baskerville" w:hAnsi="Baskerville" w:cs="Arial Narrow"/>
          <w:sz w:val="20"/>
          <w:szCs w:val="20"/>
        </w:rPr>
        <w:tab/>
        <w:t>Date</w:t>
      </w:r>
    </w:p>
    <w:sectPr w:rsidR="00F62B6A" w:rsidRPr="00BA2A7B" w:rsidSect="00F22A2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Baskerville">
    <w:panose1 w:val="02020502070401020303"/>
    <w:charset w:val="00"/>
    <w:family w:val="roman"/>
    <w:pitch w:val="variable"/>
    <w:sig w:usb0="8000006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52"/>
    <w:rsid w:val="002A75D9"/>
    <w:rsid w:val="00335288"/>
    <w:rsid w:val="003C65C5"/>
    <w:rsid w:val="00A16BC3"/>
    <w:rsid w:val="00AC3D05"/>
    <w:rsid w:val="00BA2A7B"/>
    <w:rsid w:val="00E34952"/>
    <w:rsid w:val="00E6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3EE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386</Words>
  <Characters>2204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hall</dc:creator>
  <cp:keywords/>
  <dc:description/>
  <cp:lastModifiedBy>Randi hall</cp:lastModifiedBy>
  <cp:revision>3</cp:revision>
  <cp:lastPrinted>2021-01-10T22:48:00Z</cp:lastPrinted>
  <dcterms:created xsi:type="dcterms:W3CDTF">2021-01-10T22:42:00Z</dcterms:created>
  <dcterms:modified xsi:type="dcterms:W3CDTF">2021-01-10T23:04:00Z</dcterms:modified>
</cp:coreProperties>
</file>